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41" w:rsidRDefault="00A928BE" w:rsidP="00B167A1">
      <w:bookmarkStart w:id="0" w:name="_GoBack"/>
      <w:bookmarkEnd w:id="0"/>
      <w:r>
        <w:t>Company</w:t>
      </w:r>
      <w:r w:rsidR="00DF0898">
        <w:t xml:space="preserve"> Letterhead</w:t>
      </w:r>
    </w:p>
    <w:p w:rsidR="00DF0898" w:rsidRDefault="00DF0898" w:rsidP="00B167A1"/>
    <w:p w:rsidR="00DF0898" w:rsidRDefault="00DF0898" w:rsidP="00B167A1">
      <w:r>
        <w:t>Date:</w:t>
      </w:r>
    </w:p>
    <w:p w:rsidR="00DF0898" w:rsidRDefault="00DF0898" w:rsidP="00B167A1"/>
    <w:p w:rsidR="008E1969" w:rsidRDefault="001F0505" w:rsidP="008E1969">
      <w:r>
        <w:t>PowerAmerica Institute</w:t>
      </w:r>
    </w:p>
    <w:p w:rsidR="001F0505" w:rsidRDefault="001F0505" w:rsidP="008E1969">
      <w:r>
        <w:t>Campus Box 7124</w:t>
      </w:r>
    </w:p>
    <w:p w:rsidR="001F0505" w:rsidRDefault="001F0505" w:rsidP="008E1969">
      <w:r>
        <w:t>930 Main Campus Drive, Suite 200</w:t>
      </w:r>
    </w:p>
    <w:p w:rsidR="008E1969" w:rsidRDefault="008E1969" w:rsidP="008E1969">
      <w:r>
        <w:t xml:space="preserve">Raleigh, NC 27695-7124 </w:t>
      </w:r>
    </w:p>
    <w:p w:rsidR="008C29AA" w:rsidRDefault="008C29AA" w:rsidP="00B167A1"/>
    <w:p w:rsidR="008E1969" w:rsidRDefault="00DF0898" w:rsidP="00BB5526">
      <w:pPr>
        <w:tabs>
          <w:tab w:val="left" w:pos="900"/>
        </w:tabs>
      </w:pPr>
      <w:r>
        <w:t xml:space="preserve">Subject: </w:t>
      </w:r>
      <w:r w:rsidR="00BB5526">
        <w:tab/>
      </w:r>
      <w:r>
        <w:t>Cost Share Commitment for</w:t>
      </w:r>
      <w:r w:rsidR="00255026">
        <w:t xml:space="preserve"> X participation in the</w:t>
      </w:r>
      <w:r>
        <w:t xml:space="preserve"> </w:t>
      </w:r>
      <w:r w:rsidR="006516F8">
        <w:t>PowerAmerica 2017 Call for Projects</w:t>
      </w:r>
    </w:p>
    <w:p w:rsidR="00255026" w:rsidRDefault="00255026" w:rsidP="00BB5526">
      <w:pPr>
        <w:tabs>
          <w:tab w:val="left" w:pos="900"/>
        </w:tabs>
      </w:pPr>
      <w:r>
        <w:tab/>
        <w:t xml:space="preserve">US Department of Energy, </w:t>
      </w:r>
      <w:r w:rsidRPr="00255026">
        <w:t>Office of Energy Efficiency &amp; Renewable Energy</w:t>
      </w:r>
      <w:r>
        <w:t xml:space="preserve"> </w:t>
      </w:r>
    </w:p>
    <w:p w:rsidR="00F7122E" w:rsidRDefault="00F7122E" w:rsidP="00B167A1"/>
    <w:p w:rsidR="00F7122E" w:rsidRDefault="00A928BE" w:rsidP="00B167A1">
      <w:r>
        <w:t>This company</w:t>
      </w:r>
      <w:r w:rsidR="00F7122E">
        <w:t xml:space="preserve"> commits </w:t>
      </w:r>
      <w:r>
        <w:t xml:space="preserve">to providing 50% of the total cost of their </w:t>
      </w:r>
      <w:proofErr w:type="spellStart"/>
      <w:r>
        <w:t>subaward</w:t>
      </w:r>
      <w:proofErr w:type="spellEnd"/>
      <w:r>
        <w:t xml:space="preserve"> represented by the</w:t>
      </w:r>
      <w:r w:rsidR="00F7122E">
        <w:t xml:space="preserve"> dollar value of cost share</w:t>
      </w:r>
      <w:r w:rsidR="004E5A79">
        <w:t xml:space="preserve"> </w:t>
      </w:r>
      <w:r>
        <w:t xml:space="preserve">shown below </w:t>
      </w:r>
      <w:r w:rsidR="004E5A79">
        <w:t xml:space="preserve">during </w:t>
      </w:r>
      <w:proofErr w:type="spellStart"/>
      <w:r>
        <w:t>subaward</w:t>
      </w:r>
      <w:proofErr w:type="spellEnd"/>
      <w:r>
        <w:t xml:space="preserve"> budget period</w:t>
      </w:r>
      <w:r w:rsidR="00BD7338">
        <w:t>s as shown</w:t>
      </w:r>
      <w:r w:rsidR="004E5A79">
        <w:t>. The basis of the value of eac</w:t>
      </w:r>
      <w:r w:rsidR="002A7F37">
        <w:t xml:space="preserve">h commitment is as stated. The </w:t>
      </w:r>
      <w:r>
        <w:t>company</w:t>
      </w:r>
      <w:r w:rsidR="002A7F37">
        <w:t xml:space="preserve"> agrees to include </w:t>
      </w:r>
      <w:r>
        <w:t>on</w:t>
      </w:r>
      <w:r w:rsidR="002A7F37">
        <w:t xml:space="preserve"> each invoice for reimbursement </w:t>
      </w:r>
      <w:r>
        <w:t>an accounting</w:t>
      </w:r>
      <w:r w:rsidR="002A7F37">
        <w:t xml:space="preserve"> of the cost share </w:t>
      </w:r>
      <w:r w:rsidR="008C29AA">
        <w:t xml:space="preserve">contribution </w:t>
      </w:r>
      <w:r w:rsidR="002A7F37">
        <w:t xml:space="preserve">provided for the current period and cumulatively since the start of their work under </w:t>
      </w:r>
      <w:r w:rsidR="00C10C6F">
        <w:t xml:space="preserve">their </w:t>
      </w:r>
      <w:proofErr w:type="spellStart"/>
      <w:r w:rsidR="00C10C6F">
        <w:t>subaward</w:t>
      </w:r>
      <w:proofErr w:type="spellEnd"/>
      <w:r w:rsidR="00BD7338">
        <w:t xml:space="preserve"> regardless of whether any contribution was made during that invoicing cycle</w:t>
      </w:r>
      <w:r w:rsidR="002A7F37">
        <w:t xml:space="preserve">. </w:t>
      </w:r>
      <w:r w:rsidR="008C29AA">
        <w:t xml:space="preserve"> Invoices and Cost Share Reports must be certified.</w:t>
      </w:r>
    </w:p>
    <w:p w:rsidR="007B5644" w:rsidRDefault="007B5644" w:rsidP="005B0A44"/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134"/>
        <w:gridCol w:w="1006"/>
        <w:gridCol w:w="649"/>
        <w:gridCol w:w="866"/>
        <w:gridCol w:w="698"/>
        <w:gridCol w:w="866"/>
        <w:gridCol w:w="1249"/>
      </w:tblGrid>
      <w:tr w:rsidR="00C24D1B" w:rsidRPr="006B0416" w:rsidTr="00242A4D">
        <w:trPr>
          <w:trHeight w:val="144"/>
        </w:trPr>
        <w:tc>
          <w:tcPr>
            <w:tcW w:w="4134" w:type="dxa"/>
          </w:tcPr>
          <w:p w:rsidR="007B5644" w:rsidRPr="006B0416" w:rsidRDefault="007B5644" w:rsidP="006B041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B0416">
              <w:rPr>
                <w:rFonts w:cs="Times New Roman"/>
                <w:b/>
                <w:bCs/>
                <w:sz w:val="20"/>
                <w:szCs w:val="20"/>
              </w:rPr>
              <w:t>Sub</w:t>
            </w:r>
            <w:r w:rsidR="006516F8">
              <w:rPr>
                <w:rFonts w:cs="Times New Roman"/>
                <w:b/>
                <w:bCs/>
                <w:sz w:val="20"/>
                <w:szCs w:val="20"/>
              </w:rPr>
              <w:t>-recipient</w:t>
            </w:r>
            <w:r w:rsidRPr="006B041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244B6F" w:rsidRPr="006B0416">
              <w:rPr>
                <w:rFonts w:cs="Times New Roman"/>
                <w:b/>
                <w:bCs/>
                <w:sz w:val="20"/>
                <w:szCs w:val="20"/>
              </w:rPr>
              <w:t>Cost Share</w:t>
            </w:r>
          </w:p>
        </w:tc>
        <w:tc>
          <w:tcPr>
            <w:tcW w:w="4085" w:type="dxa"/>
            <w:gridSpan w:val="5"/>
            <w:vAlign w:val="center"/>
          </w:tcPr>
          <w:p w:rsidR="007B5644" w:rsidRPr="006B0416" w:rsidRDefault="006516F8" w:rsidP="006B041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BP4</w:t>
            </w:r>
            <w:r w:rsidR="007B5644" w:rsidRPr="006B0416">
              <w:rPr>
                <w:rFonts w:cs="Times New Roman"/>
                <w:color w:val="000000"/>
                <w:sz w:val="20"/>
                <w:szCs w:val="20"/>
              </w:rPr>
              <w:t xml:space="preserve"> Tasks</w:t>
            </w:r>
          </w:p>
        </w:tc>
        <w:tc>
          <w:tcPr>
            <w:tcW w:w="1249" w:type="dxa"/>
          </w:tcPr>
          <w:p w:rsidR="007B5644" w:rsidRPr="006B0416" w:rsidRDefault="007B5644" w:rsidP="006B0416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24D1B" w:rsidRPr="006B0416" w:rsidTr="00242A4D">
        <w:trPr>
          <w:trHeight w:val="144"/>
        </w:trPr>
        <w:tc>
          <w:tcPr>
            <w:tcW w:w="4134" w:type="dxa"/>
          </w:tcPr>
          <w:p w:rsidR="007B5644" w:rsidRPr="006B0416" w:rsidRDefault="007B5644" w:rsidP="006B0416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7B5644" w:rsidRPr="006B0416" w:rsidRDefault="007B5644" w:rsidP="006B041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0416">
              <w:rPr>
                <w:rFonts w:cs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649" w:type="dxa"/>
            <w:vAlign w:val="center"/>
          </w:tcPr>
          <w:p w:rsidR="007B5644" w:rsidRPr="006B0416" w:rsidRDefault="007B5644" w:rsidP="006B041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0416">
              <w:rPr>
                <w:rFonts w:cs="Times New Roman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866" w:type="dxa"/>
            <w:vAlign w:val="center"/>
          </w:tcPr>
          <w:p w:rsidR="007B5644" w:rsidRPr="006B0416" w:rsidRDefault="007B5644" w:rsidP="006B041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0416">
              <w:rPr>
                <w:rFonts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698" w:type="dxa"/>
            <w:vAlign w:val="center"/>
          </w:tcPr>
          <w:p w:rsidR="007B5644" w:rsidRPr="006B0416" w:rsidRDefault="007B5644" w:rsidP="006B041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0416">
              <w:rPr>
                <w:rFonts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866" w:type="dxa"/>
            <w:vAlign w:val="center"/>
          </w:tcPr>
          <w:p w:rsidR="007B5644" w:rsidRPr="006B0416" w:rsidRDefault="007B5644" w:rsidP="006B041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0416">
              <w:rPr>
                <w:rFonts w:cs="Times New Roman"/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1249" w:type="dxa"/>
            <w:vAlign w:val="center"/>
          </w:tcPr>
          <w:p w:rsidR="007B5644" w:rsidRPr="006B0416" w:rsidRDefault="007B5644" w:rsidP="006B04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0416">
              <w:rPr>
                <w:rFonts w:cs="Times New Roman"/>
                <w:bCs/>
                <w:sz w:val="20"/>
                <w:szCs w:val="20"/>
              </w:rPr>
              <w:t>All Tasks</w:t>
            </w:r>
          </w:p>
        </w:tc>
      </w:tr>
      <w:tr w:rsidR="00C24D1B" w:rsidRPr="006B0416" w:rsidTr="00242A4D">
        <w:trPr>
          <w:trHeight w:val="20"/>
        </w:trPr>
        <w:tc>
          <w:tcPr>
            <w:tcW w:w="4134" w:type="dxa"/>
            <w:vAlign w:val="center"/>
          </w:tcPr>
          <w:p w:rsidR="007B5644" w:rsidRPr="006B0416" w:rsidRDefault="006516F8" w:rsidP="006B0416">
            <w:pPr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Engineering design labor hours (rate </w:t>
            </w:r>
            <w:r w:rsidR="00071BF9">
              <w:rPr>
                <w:rFonts w:cs="Times New Roman"/>
                <w:bCs/>
                <w:sz w:val="20"/>
                <w:szCs w:val="20"/>
              </w:rPr>
              <w:t xml:space="preserve">X </w:t>
            </w:r>
            <w:r>
              <w:rPr>
                <w:rFonts w:cs="Times New Roman"/>
                <w:bCs/>
                <w:sz w:val="20"/>
                <w:szCs w:val="20"/>
              </w:rPr>
              <w:t>Number of hours)</w:t>
            </w:r>
          </w:p>
        </w:tc>
        <w:tc>
          <w:tcPr>
            <w:tcW w:w="1006" w:type="dxa"/>
            <w:vAlign w:val="center"/>
          </w:tcPr>
          <w:p w:rsidR="007B5644" w:rsidRPr="006B0416" w:rsidRDefault="00071BF9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50,000</w:t>
            </w:r>
          </w:p>
        </w:tc>
        <w:tc>
          <w:tcPr>
            <w:tcW w:w="649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7B5644" w:rsidRPr="006B0416" w:rsidRDefault="00071BF9" w:rsidP="006B0416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50,000</w:t>
            </w:r>
          </w:p>
        </w:tc>
      </w:tr>
      <w:tr w:rsidR="00C24D1B" w:rsidRPr="006B0416" w:rsidTr="00242A4D">
        <w:trPr>
          <w:trHeight w:val="20"/>
        </w:trPr>
        <w:tc>
          <w:tcPr>
            <w:tcW w:w="4134" w:type="dxa"/>
            <w:vAlign w:val="center"/>
            <w:hideMark/>
          </w:tcPr>
          <w:p w:rsidR="007B5644" w:rsidRPr="006B0416" w:rsidRDefault="007B5644" w:rsidP="006B0416">
            <w:pPr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6B0416">
              <w:rPr>
                <w:rFonts w:cs="Times New Roman"/>
                <w:bCs/>
                <w:sz w:val="20"/>
                <w:szCs w:val="20"/>
              </w:rPr>
              <w:t>Back</w:t>
            </w:r>
            <w:r w:rsidR="005B0A44" w:rsidRPr="006B0416">
              <w:rPr>
                <w:rFonts w:cs="Times New Roman"/>
                <w:bCs/>
                <w:sz w:val="20"/>
                <w:szCs w:val="20"/>
              </w:rPr>
              <w:t xml:space="preserve"> G</w:t>
            </w:r>
            <w:r w:rsidRPr="006B0416">
              <w:rPr>
                <w:rFonts w:cs="Times New Roman"/>
                <w:bCs/>
                <w:sz w:val="20"/>
                <w:szCs w:val="20"/>
              </w:rPr>
              <w:t xml:space="preserve">rind </w:t>
            </w:r>
            <w:r w:rsidR="005B0A44" w:rsidRPr="006B0416">
              <w:rPr>
                <w:rFonts w:cs="Times New Roman"/>
                <w:bCs/>
                <w:sz w:val="20"/>
                <w:szCs w:val="20"/>
              </w:rPr>
              <w:t xml:space="preserve">Finisher </w:t>
            </w:r>
            <w:r w:rsidRPr="006B0416">
              <w:rPr>
                <w:rFonts w:cs="Times New Roman"/>
                <w:bCs/>
                <w:sz w:val="20"/>
                <w:szCs w:val="20"/>
              </w:rPr>
              <w:t>Est. purchase Price</w:t>
            </w:r>
          </w:p>
        </w:tc>
        <w:tc>
          <w:tcPr>
            <w:tcW w:w="1006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B5644" w:rsidRPr="006B0416" w:rsidRDefault="00071BF9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698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7B5644" w:rsidRPr="006B0416" w:rsidRDefault="00071BF9" w:rsidP="006B0416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100,000</w:t>
            </w:r>
          </w:p>
        </w:tc>
      </w:tr>
      <w:tr w:rsidR="00C24D1B" w:rsidRPr="006B0416" w:rsidTr="00242A4D">
        <w:trPr>
          <w:trHeight w:val="20"/>
        </w:trPr>
        <w:tc>
          <w:tcPr>
            <w:tcW w:w="4134" w:type="dxa"/>
            <w:vAlign w:val="center"/>
            <w:hideMark/>
          </w:tcPr>
          <w:p w:rsidR="007B5644" w:rsidRPr="006B0416" w:rsidRDefault="007B5644" w:rsidP="006B0416">
            <w:pPr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6B0416">
              <w:rPr>
                <w:rFonts w:cs="Times New Roman"/>
                <w:bCs/>
                <w:sz w:val="20"/>
                <w:szCs w:val="20"/>
              </w:rPr>
              <w:t>upgrade</w:t>
            </w:r>
            <w:proofErr w:type="gramEnd"/>
            <w:r w:rsidRPr="006B0416">
              <w:rPr>
                <w:rFonts w:cs="Times New Roman"/>
                <w:bCs/>
                <w:sz w:val="20"/>
                <w:szCs w:val="20"/>
              </w:rPr>
              <w:t xml:space="preserve"> of </w:t>
            </w:r>
            <w:r w:rsidR="005B0A44" w:rsidRPr="006B0416">
              <w:rPr>
                <w:rFonts w:cs="Times New Roman"/>
                <w:bCs/>
                <w:sz w:val="20"/>
                <w:szCs w:val="20"/>
              </w:rPr>
              <w:t>Z-</w:t>
            </w:r>
            <w:proofErr w:type="spellStart"/>
            <w:r w:rsidR="005B0A44" w:rsidRPr="006B0416">
              <w:rPr>
                <w:rFonts w:cs="Times New Roman"/>
                <w:bCs/>
                <w:sz w:val="20"/>
                <w:szCs w:val="20"/>
              </w:rPr>
              <w:t>stol</w:t>
            </w:r>
            <w:proofErr w:type="spellEnd"/>
            <w:r w:rsidRPr="006B0416">
              <w:rPr>
                <w:rFonts w:cs="Times New Roman"/>
                <w:bCs/>
                <w:sz w:val="20"/>
                <w:szCs w:val="20"/>
              </w:rPr>
              <w:t xml:space="preserve"> inspection tool</w:t>
            </w:r>
            <w:r w:rsidR="006B0416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6B0416">
              <w:rPr>
                <w:rFonts w:cs="Times New Roman"/>
                <w:bCs/>
                <w:sz w:val="20"/>
                <w:szCs w:val="20"/>
              </w:rPr>
              <w:t xml:space="preserve">Est. </w:t>
            </w:r>
            <w:r w:rsidR="006B0416">
              <w:rPr>
                <w:rFonts w:cs="Times New Roman"/>
                <w:bCs/>
                <w:sz w:val="20"/>
                <w:szCs w:val="20"/>
              </w:rPr>
              <w:t>P</w:t>
            </w:r>
            <w:r w:rsidRPr="006B0416">
              <w:rPr>
                <w:rFonts w:cs="Times New Roman"/>
                <w:bCs/>
                <w:sz w:val="20"/>
                <w:szCs w:val="20"/>
              </w:rPr>
              <w:t>rice</w:t>
            </w:r>
          </w:p>
        </w:tc>
        <w:tc>
          <w:tcPr>
            <w:tcW w:w="1006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7B5644" w:rsidRPr="006B0416" w:rsidRDefault="007B5644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B5644" w:rsidRPr="006B0416" w:rsidRDefault="00071BF9" w:rsidP="006B0416">
            <w:pPr>
              <w:spacing w:line="276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1249" w:type="dxa"/>
            <w:vAlign w:val="center"/>
          </w:tcPr>
          <w:p w:rsidR="007B5644" w:rsidRPr="006B0416" w:rsidRDefault="00071BF9" w:rsidP="006B0416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100,000</w:t>
            </w:r>
          </w:p>
        </w:tc>
      </w:tr>
      <w:tr w:rsidR="00242A4D" w:rsidRPr="006B0416" w:rsidTr="00242A4D">
        <w:trPr>
          <w:trHeight w:val="20"/>
        </w:trPr>
        <w:tc>
          <w:tcPr>
            <w:tcW w:w="4134" w:type="dxa"/>
            <w:vAlign w:val="center"/>
            <w:hideMark/>
          </w:tcPr>
          <w:p w:rsidR="00242A4D" w:rsidRPr="006B0416" w:rsidRDefault="00242A4D" w:rsidP="00242A4D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B0416">
              <w:rPr>
                <w:rFonts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cost share provided</w:t>
            </w:r>
          </w:p>
        </w:tc>
        <w:tc>
          <w:tcPr>
            <w:tcW w:w="1006" w:type="dxa"/>
          </w:tcPr>
          <w:p w:rsidR="00242A4D" w:rsidRPr="006B0416" w:rsidRDefault="00242A4D" w:rsidP="00242A4D">
            <w:pPr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50,000</w:t>
            </w:r>
          </w:p>
        </w:tc>
        <w:tc>
          <w:tcPr>
            <w:tcW w:w="649" w:type="dxa"/>
          </w:tcPr>
          <w:p w:rsidR="00242A4D" w:rsidRPr="006B0416" w:rsidRDefault="00242A4D" w:rsidP="00242A4D">
            <w:pPr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</w:tcPr>
          <w:p w:rsidR="00242A4D" w:rsidRPr="006B0416" w:rsidRDefault="00242A4D" w:rsidP="00242A4D">
            <w:pPr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698" w:type="dxa"/>
          </w:tcPr>
          <w:p w:rsidR="00242A4D" w:rsidRPr="006B0416" w:rsidRDefault="00242A4D" w:rsidP="00242A4D">
            <w:pPr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</w:tcPr>
          <w:p w:rsidR="00242A4D" w:rsidRPr="006B0416" w:rsidRDefault="00242A4D" w:rsidP="00242A4D">
            <w:pPr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1249" w:type="dxa"/>
          </w:tcPr>
          <w:p w:rsidR="00242A4D" w:rsidRPr="006B0416" w:rsidRDefault="00242A4D" w:rsidP="00242A4D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250,000</w:t>
            </w:r>
          </w:p>
        </w:tc>
      </w:tr>
    </w:tbl>
    <w:p w:rsidR="007B5644" w:rsidRDefault="007B5644" w:rsidP="007B5644"/>
    <w:p w:rsidR="00F7122E" w:rsidRDefault="005B0A44" w:rsidP="005B0A44">
      <w:r>
        <w:t>In-Kind Contributions (</w:t>
      </w:r>
      <w:r w:rsidR="00F7122E">
        <w:t>Examples:</w:t>
      </w:r>
      <w:r>
        <w:t>)</w:t>
      </w:r>
      <w:r w:rsidR="00F7122E">
        <w:t xml:space="preserve"> </w:t>
      </w:r>
    </w:p>
    <w:p w:rsidR="00CD2568" w:rsidRDefault="00740E87" w:rsidP="005B0A44">
      <w:r>
        <w:t>1.</w:t>
      </w:r>
      <w:r w:rsidR="000C4C68">
        <w:t xml:space="preserve"> </w:t>
      </w:r>
      <w:r w:rsidR="00C90ECA">
        <w:t>$XX</w:t>
      </w:r>
      <w:proofErr w:type="gramStart"/>
      <w:r w:rsidR="00C90ECA">
        <w:t>,XXX</w:t>
      </w:r>
      <w:proofErr w:type="gramEnd"/>
      <w:r w:rsidR="00C90ECA">
        <w:t xml:space="preserve"> </w:t>
      </w:r>
      <w:r>
        <w:t xml:space="preserve"> </w:t>
      </w:r>
      <w:r w:rsidR="00F7122E">
        <w:t>In-kind</w:t>
      </w:r>
      <w:r w:rsidR="00537CE8">
        <w:t xml:space="preserve"> </w:t>
      </w:r>
      <w:r w:rsidR="00C10C6F">
        <w:t xml:space="preserve">labor contribution </w:t>
      </w:r>
      <w:r w:rsidR="00537CE8">
        <w:t>for 2</w:t>
      </w:r>
      <w:r>
        <w:t xml:space="preserve"> </w:t>
      </w:r>
      <w:r w:rsidR="00C10C6F">
        <w:t>Senior Engineering</w:t>
      </w:r>
      <w:r>
        <w:t xml:space="preserve"> Research</w:t>
      </w:r>
      <w:r w:rsidR="00C10C6F">
        <w:t>ers</w:t>
      </w:r>
      <w:r w:rsidR="001C3E86">
        <w:t>, providing XX Hours direct Labor, @</w:t>
      </w:r>
      <w:r w:rsidR="00C10C6F">
        <w:t xml:space="preserve"> $</w:t>
      </w:r>
      <w:r w:rsidR="00CD2568">
        <w:t>XX</w:t>
      </w:r>
      <w:r w:rsidR="001C3E86">
        <w:t xml:space="preserve"> (use either fully burdened rate or labor and fringe benefit amounts separately)</w:t>
      </w:r>
      <w:r w:rsidR="008E1969">
        <w:t xml:space="preserve">, </w:t>
      </w:r>
      <w:r w:rsidR="005073B3">
        <w:t>for a total</w:t>
      </w:r>
      <w:r w:rsidR="00CD2568">
        <w:t xml:space="preserve"> value to be contributed as follows:</w:t>
      </w:r>
      <w:r w:rsidR="00C10C6F">
        <w:t xml:space="preserve"> </w:t>
      </w:r>
    </w:p>
    <w:p w:rsidR="00C10C6F" w:rsidRDefault="00CD2568" w:rsidP="005B0A44">
      <w:pPr>
        <w:tabs>
          <w:tab w:val="left" w:pos="2880"/>
        </w:tabs>
      </w:pPr>
      <w:r>
        <w:t>BP1</w:t>
      </w:r>
      <w:r w:rsidR="004F2598">
        <w:t>:</w:t>
      </w:r>
      <w:r>
        <w:t xml:space="preserve"> XX Hours </w:t>
      </w:r>
      <w:r w:rsidR="008A0BBF">
        <w:t>@ $XX each</w:t>
      </w:r>
      <w:r>
        <w:t xml:space="preserve"> month</w:t>
      </w:r>
      <w:r w:rsidR="008A0BBF">
        <w:t>, equaling $ per month and Budget</w:t>
      </w:r>
      <w:r>
        <w:t xml:space="preserve"> Period Total $XX</w:t>
      </w:r>
    </w:p>
    <w:p w:rsidR="00CD2568" w:rsidRDefault="00CD2568" w:rsidP="005B0A44">
      <w:pPr>
        <w:tabs>
          <w:tab w:val="left" w:pos="2880"/>
        </w:tabs>
      </w:pPr>
      <w:r>
        <w:t xml:space="preserve">BP2: </w:t>
      </w:r>
      <w:r w:rsidR="008A0BBF">
        <w:t>XX Hours @ $XX each month, equaling $ per month and Budget Period Total $XX</w:t>
      </w:r>
    </w:p>
    <w:p w:rsidR="00C10C6F" w:rsidRDefault="005073B3" w:rsidP="005B0A44">
      <w:pPr>
        <w:tabs>
          <w:tab w:val="left" w:pos="3864"/>
        </w:tabs>
      </w:pPr>
      <w:r>
        <w:tab/>
      </w:r>
    </w:p>
    <w:p w:rsidR="00F7122E" w:rsidRDefault="00740E87" w:rsidP="005B0A44">
      <w:r>
        <w:t xml:space="preserve">2. </w:t>
      </w:r>
      <w:r w:rsidR="009016D4">
        <w:t>$XX</w:t>
      </w:r>
      <w:proofErr w:type="gramStart"/>
      <w:r w:rsidR="009016D4">
        <w:t>,XXX</w:t>
      </w:r>
      <w:proofErr w:type="gramEnd"/>
      <w:r w:rsidR="009016D4">
        <w:t xml:space="preserve"> </w:t>
      </w:r>
      <w:r w:rsidR="00F7122E">
        <w:t>In Kind</w:t>
      </w:r>
      <w:r>
        <w:t>,</w:t>
      </w:r>
      <w:r w:rsidR="00F7122E">
        <w:t xml:space="preserve"> Materials </w:t>
      </w:r>
      <w:r w:rsidR="00F7122E" w:rsidRPr="00F7122E">
        <w:t>- 200 each 6 in diameter, XX mm thick Wafers @ net cost $84.57 each, (</w:t>
      </w:r>
      <w:r w:rsidR="008A0BBF">
        <w:t xml:space="preserve">excludes profit) Total $16,914, as follows: </w:t>
      </w:r>
      <w:r w:rsidR="00CD2568">
        <w:t>BP 1</w:t>
      </w:r>
      <w:r w:rsidR="008A0BBF">
        <w:t>,</w:t>
      </w:r>
      <w:r w:rsidR="00CD2568">
        <w:t xml:space="preserve"> </w:t>
      </w:r>
      <w:r w:rsidR="00F7122E" w:rsidRPr="00F7122E">
        <w:t xml:space="preserve">20 </w:t>
      </w:r>
      <w:r w:rsidR="000C4C68">
        <w:t xml:space="preserve">wafers </w:t>
      </w:r>
      <w:r w:rsidR="00F7122E" w:rsidRPr="00F7122E">
        <w:t xml:space="preserve">each week </w:t>
      </w:r>
      <w:r w:rsidR="00CD2568">
        <w:t>@ $XX</w:t>
      </w:r>
      <w:r w:rsidR="00CD2568" w:rsidRPr="00F7122E">
        <w:t xml:space="preserve"> </w:t>
      </w:r>
      <w:r w:rsidR="00F7122E" w:rsidRPr="00F7122E">
        <w:t>during Sep 1, 201</w:t>
      </w:r>
      <w:r w:rsidR="008A0BBF">
        <w:t>5</w:t>
      </w:r>
      <w:r w:rsidR="00F7122E" w:rsidRPr="00F7122E">
        <w:t xml:space="preserve"> through Nov. 15, 201</w:t>
      </w:r>
      <w:r w:rsidR="008A0BBF">
        <w:t>5</w:t>
      </w:r>
      <w:r w:rsidR="00F7122E" w:rsidRPr="00F7122E">
        <w:t>.</w:t>
      </w:r>
      <w:r w:rsidR="00CD2568">
        <w:t xml:space="preserve"> Period Total $XX</w:t>
      </w:r>
    </w:p>
    <w:p w:rsidR="009016D4" w:rsidRDefault="009016D4" w:rsidP="00B167A1"/>
    <w:p w:rsidR="00547756" w:rsidRDefault="00547756" w:rsidP="00B167A1">
      <w:r>
        <w:t>Note: Please p</w:t>
      </w:r>
      <w:r w:rsidR="00B76A34">
        <w:t>rovide any additional details in the form of a plan</w:t>
      </w:r>
      <w:r>
        <w:t xml:space="preserve"> or schedule</w:t>
      </w:r>
      <w:r w:rsidR="00B76A34">
        <w:t xml:space="preserve"> as to when you anticipate actually maki</w:t>
      </w:r>
      <w:r w:rsidR="008A0BBF">
        <w:t xml:space="preserve">ng the cost share contributions. </w:t>
      </w:r>
      <w:r w:rsidR="00B76A34">
        <w:t xml:space="preserve">The goal is to maintain a consistent rate of cost share contributions at or above 50% of the total incurred costs throughout the budget period.  If circumstances are foreseeable that can predict any variances from this </w:t>
      </w:r>
      <w:proofErr w:type="gramStart"/>
      <w:r w:rsidR="00B76A34">
        <w:t>goal, that</w:t>
      </w:r>
      <w:proofErr w:type="gramEnd"/>
      <w:r w:rsidR="00B76A34">
        <w:t xml:space="preserve"> </w:t>
      </w:r>
      <w:r w:rsidR="004F2598">
        <w:t xml:space="preserve">is useful </w:t>
      </w:r>
      <w:r w:rsidR="00B76A34">
        <w:t xml:space="preserve">information </w:t>
      </w:r>
      <w:r w:rsidR="004F2598">
        <w:t>for</w:t>
      </w:r>
      <w:r w:rsidR="00B76A34">
        <w:t xml:space="preserve"> evaluating the overall risk associated with </w:t>
      </w:r>
      <w:r>
        <w:t xml:space="preserve">the cost share commitment that you are making.  </w:t>
      </w:r>
    </w:p>
    <w:p w:rsidR="00071BF9" w:rsidRDefault="00071BF9" w:rsidP="00B167A1"/>
    <w:p w:rsidR="009016D4" w:rsidRDefault="009016D4" w:rsidP="00B167A1">
      <w:r>
        <w:t>Signed</w:t>
      </w:r>
    </w:p>
    <w:p w:rsidR="00071BF9" w:rsidRDefault="00071BF9" w:rsidP="006B0416"/>
    <w:p w:rsidR="00FC4AAC" w:rsidRDefault="009016D4" w:rsidP="006B0416">
      <w:r>
        <w:t xml:space="preserve">Authorized </w:t>
      </w:r>
      <w:r w:rsidR="00CD2568">
        <w:t>Business Official</w:t>
      </w:r>
    </w:p>
    <w:p w:rsidR="00FC4AAC" w:rsidRDefault="00FC4AAC" w:rsidP="00242A4D">
      <w:pPr>
        <w:spacing w:after="200" w:line="276" w:lineRule="auto"/>
      </w:pPr>
    </w:p>
    <w:sectPr w:rsidR="00FC4AAC" w:rsidSect="00760B51">
      <w:footerReference w:type="default" r:id="rId7"/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68" w:rsidRDefault="007C2C68" w:rsidP="00B167A1">
      <w:r>
        <w:separator/>
      </w:r>
    </w:p>
  </w:endnote>
  <w:endnote w:type="continuationSeparator" w:id="0">
    <w:p w:rsidR="007C2C68" w:rsidRDefault="007C2C68" w:rsidP="00B1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68" w:rsidRPr="00B167A1" w:rsidRDefault="007C2C68" w:rsidP="00B167A1">
    <w:pPr>
      <w:pStyle w:val="Footer"/>
      <w:ind w:left="-540"/>
      <w:rPr>
        <w:sz w:val="18"/>
        <w:szCs w:val="18"/>
      </w:rPr>
    </w:pPr>
    <w:r w:rsidRPr="00B167A1">
      <w:rPr>
        <w:sz w:val="18"/>
        <w:szCs w:val="18"/>
      </w:rPr>
      <w:fldChar w:fldCharType="begin"/>
    </w:r>
    <w:r w:rsidRPr="00B167A1">
      <w:rPr>
        <w:sz w:val="18"/>
        <w:szCs w:val="18"/>
      </w:rPr>
      <w:instrText xml:space="preserve"> FILENAME   \* MERGEFORMAT </w:instrText>
    </w:r>
    <w:r w:rsidRPr="00B167A1">
      <w:rPr>
        <w:sz w:val="18"/>
        <w:szCs w:val="18"/>
      </w:rPr>
      <w:fldChar w:fldCharType="separate"/>
    </w:r>
    <w:r>
      <w:rPr>
        <w:noProof/>
        <w:sz w:val="18"/>
        <w:szCs w:val="18"/>
      </w:rPr>
      <w:t xml:space="preserve">Cost Share Detailed Commitment Letter Example </w:t>
    </w:r>
    <w:r w:rsidR="001F0505">
      <w:rPr>
        <w:noProof/>
        <w:sz w:val="18"/>
        <w:szCs w:val="18"/>
      </w:rPr>
      <w:t>10</w:t>
    </w:r>
    <w:r>
      <w:rPr>
        <w:noProof/>
        <w:sz w:val="18"/>
        <w:szCs w:val="18"/>
      </w:rPr>
      <w:t>-</w:t>
    </w:r>
    <w:r w:rsidR="001F0505">
      <w:rPr>
        <w:noProof/>
        <w:sz w:val="18"/>
        <w:szCs w:val="18"/>
      </w:rPr>
      <w:t>31</w:t>
    </w:r>
    <w:r>
      <w:rPr>
        <w:noProof/>
        <w:sz w:val="18"/>
        <w:szCs w:val="18"/>
      </w:rPr>
      <w:t>-1</w:t>
    </w:r>
    <w:r w:rsidR="001F0505">
      <w:rPr>
        <w:noProof/>
        <w:sz w:val="18"/>
        <w:szCs w:val="18"/>
      </w:rPr>
      <w:t>6</w:t>
    </w:r>
    <w:r>
      <w:rPr>
        <w:noProof/>
        <w:sz w:val="18"/>
        <w:szCs w:val="18"/>
      </w:rPr>
      <w:t>.docx</w:t>
    </w:r>
    <w:r w:rsidRPr="00B167A1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D05B7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68" w:rsidRDefault="007C2C68" w:rsidP="00B167A1">
      <w:r>
        <w:separator/>
      </w:r>
    </w:p>
  </w:footnote>
  <w:footnote w:type="continuationSeparator" w:id="0">
    <w:p w:rsidR="007C2C68" w:rsidRDefault="007C2C68" w:rsidP="00B16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98"/>
    <w:rsid w:val="00032999"/>
    <w:rsid w:val="00071BF9"/>
    <w:rsid w:val="000A2C43"/>
    <w:rsid w:val="000C3BF1"/>
    <w:rsid w:val="000C4C68"/>
    <w:rsid w:val="000D1FE8"/>
    <w:rsid w:val="001C3E86"/>
    <w:rsid w:val="001F0505"/>
    <w:rsid w:val="00242A4D"/>
    <w:rsid w:val="00244B6F"/>
    <w:rsid w:val="00255026"/>
    <w:rsid w:val="00271F56"/>
    <w:rsid w:val="002A7F37"/>
    <w:rsid w:val="00354824"/>
    <w:rsid w:val="00371692"/>
    <w:rsid w:val="00486A41"/>
    <w:rsid w:val="004E5A79"/>
    <w:rsid w:val="004F2598"/>
    <w:rsid w:val="005073B3"/>
    <w:rsid w:val="005332CE"/>
    <w:rsid w:val="00537CE8"/>
    <w:rsid w:val="00547756"/>
    <w:rsid w:val="00575D2C"/>
    <w:rsid w:val="005A4A35"/>
    <w:rsid w:val="005B0A44"/>
    <w:rsid w:val="006516F8"/>
    <w:rsid w:val="006B0416"/>
    <w:rsid w:val="00714F7E"/>
    <w:rsid w:val="00740E87"/>
    <w:rsid w:val="00760B51"/>
    <w:rsid w:val="007B5644"/>
    <w:rsid w:val="007C2C68"/>
    <w:rsid w:val="00896169"/>
    <w:rsid w:val="008A0BBF"/>
    <w:rsid w:val="008C29AA"/>
    <w:rsid w:val="008E1969"/>
    <w:rsid w:val="008F3310"/>
    <w:rsid w:val="009016D4"/>
    <w:rsid w:val="009D76A1"/>
    <w:rsid w:val="00A928BE"/>
    <w:rsid w:val="00B167A1"/>
    <w:rsid w:val="00B76A34"/>
    <w:rsid w:val="00BB5526"/>
    <w:rsid w:val="00BD7338"/>
    <w:rsid w:val="00C10C6F"/>
    <w:rsid w:val="00C24D1B"/>
    <w:rsid w:val="00C90ECA"/>
    <w:rsid w:val="00CB5C1F"/>
    <w:rsid w:val="00CD2568"/>
    <w:rsid w:val="00CD5B63"/>
    <w:rsid w:val="00D05B76"/>
    <w:rsid w:val="00DF0898"/>
    <w:rsid w:val="00E31341"/>
    <w:rsid w:val="00F7122E"/>
    <w:rsid w:val="00FC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A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7A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1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7A1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A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7A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1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7A1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chaffe\AppData\Roaming\Microsoft\Templates\Times%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\Users\jlchaffe\AppData\Roaming\Microsoft\Templates\Times 11.dotx</Template>
  <TotalTime>0</TotalTime>
  <Pages>1</Pages>
  <Words>361</Words>
  <Characters>2063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 Chaffee</dc:creator>
  <cp:lastModifiedBy>Meg </cp:lastModifiedBy>
  <cp:revision>2</cp:revision>
  <cp:lastPrinted>2014-10-27T19:49:00Z</cp:lastPrinted>
  <dcterms:created xsi:type="dcterms:W3CDTF">2017-10-23T15:53:00Z</dcterms:created>
  <dcterms:modified xsi:type="dcterms:W3CDTF">2017-10-23T15:53:00Z</dcterms:modified>
</cp:coreProperties>
</file>